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67" w:rsidRPr="00450A67" w:rsidRDefault="00327BB5" w:rsidP="00450A67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4C5966"/>
          <w:sz w:val="53"/>
          <w:szCs w:val="53"/>
          <w:lang w:eastAsia="en-ZA"/>
        </w:rPr>
      </w:pPr>
      <w:r>
        <w:rPr>
          <w:rFonts w:ascii="Arial" w:eastAsia="Times New Roman" w:hAnsi="Arial" w:cs="Arial"/>
          <w:color w:val="4C5966"/>
          <w:sz w:val="53"/>
          <w:szCs w:val="53"/>
          <w:lang w:eastAsia="en-ZA"/>
        </w:rPr>
        <w:t>Commercial/</w:t>
      </w:r>
      <w:r w:rsidR="00450A67" w:rsidRPr="00450A67">
        <w:rPr>
          <w:rFonts w:ascii="Arial" w:eastAsia="Times New Roman" w:hAnsi="Arial" w:cs="Arial"/>
          <w:color w:val="4C5966"/>
          <w:sz w:val="53"/>
          <w:szCs w:val="53"/>
          <w:lang w:eastAsia="en-ZA"/>
        </w:rPr>
        <w:t>Business Law</w:t>
      </w:r>
    </w:p>
    <w:p w:rsidR="00450A67" w:rsidRPr="00450A67" w:rsidRDefault="00450A67" w:rsidP="00450A67">
      <w:pPr>
        <w:shd w:val="clear" w:color="auto" w:fill="FFFFFF"/>
        <w:spacing w:after="150" w:line="390" w:lineRule="atLeast"/>
        <w:outlineLvl w:val="2"/>
        <w:rPr>
          <w:rFonts w:ascii="Arial" w:eastAsia="Times New Roman" w:hAnsi="Arial" w:cs="Arial"/>
          <w:color w:val="4C5966"/>
          <w:sz w:val="27"/>
          <w:szCs w:val="27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7"/>
          <w:szCs w:val="27"/>
          <w:lang w:eastAsia="en-ZA"/>
        </w:rPr>
        <w:t>Course Overview</w:t>
      </w:r>
    </w:p>
    <w:p w:rsidR="00450A67" w:rsidRPr="00450A67" w:rsidRDefault="00450A67" w:rsidP="00450A6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 xml:space="preserve">This course provides an introduction to the fundamental principles of </w:t>
      </w:r>
      <w:r w:rsidR="00327BB5">
        <w:rPr>
          <w:rFonts w:ascii="Arial" w:eastAsia="Times New Roman" w:hAnsi="Arial" w:cs="Arial"/>
          <w:color w:val="4C5966"/>
          <w:sz w:val="24"/>
          <w:szCs w:val="24"/>
          <w:lang w:eastAsia="en-ZA"/>
        </w:rPr>
        <w:t xml:space="preserve">commercial and </w:t>
      </w: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busines</w:t>
      </w:r>
      <w:r>
        <w:rPr>
          <w:rFonts w:ascii="Arial" w:eastAsia="Times New Roman" w:hAnsi="Arial" w:cs="Arial"/>
          <w:color w:val="4C5966"/>
          <w:sz w:val="24"/>
          <w:szCs w:val="24"/>
          <w:lang w:eastAsia="en-ZA"/>
        </w:rPr>
        <w:t>s law, including contracts, Delicts, Directors Liability</w:t>
      </w: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, and regulatory compliance. Students will gain an understanding of the legal environment in which businesses operate.</w:t>
      </w:r>
    </w:p>
    <w:p w:rsidR="00450A67" w:rsidRPr="00D432E8" w:rsidRDefault="00450A67" w:rsidP="00450A6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</w:pPr>
      <w:proofErr w:type="gramStart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1</w:t>
      </w:r>
      <w:proofErr w:type="gramEnd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: Introduction to Business Law</w:t>
      </w:r>
    </w:p>
    <w:p w:rsidR="00450A67" w:rsidRPr="00450A67" w:rsidRDefault="00450A67" w:rsidP="00450A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Overview of the legal system</w:t>
      </w:r>
    </w:p>
    <w:p w:rsidR="00450A67" w:rsidRPr="00450A67" w:rsidRDefault="00450A67" w:rsidP="00450A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Sources of law: statutes, regulations, and case law</w:t>
      </w:r>
    </w:p>
    <w:p w:rsidR="00450A67" w:rsidRPr="00450A67" w:rsidRDefault="00450A67" w:rsidP="00450A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Importance of business law in the corporate environment</w:t>
      </w:r>
    </w:p>
    <w:p w:rsidR="00450A67" w:rsidRPr="00D432E8" w:rsidRDefault="00450A67" w:rsidP="00450A6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</w:pPr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2: Contracts: Formation and Enforcement</w:t>
      </w:r>
    </w:p>
    <w:p w:rsidR="00450A67" w:rsidRPr="00450A67" w:rsidRDefault="00450A67" w:rsidP="00450A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Elements of a valid contract</w:t>
      </w:r>
    </w:p>
    <w:p w:rsidR="00450A67" w:rsidRPr="00450A67" w:rsidRDefault="00450A67" w:rsidP="00450A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Types of contracts</w:t>
      </w:r>
    </w:p>
    <w:p w:rsidR="00450A67" w:rsidRPr="00450A67" w:rsidRDefault="00450A67" w:rsidP="00450A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Breach of contract and remedies</w:t>
      </w:r>
    </w:p>
    <w:p w:rsidR="00450A67" w:rsidRPr="00D432E8" w:rsidRDefault="00450A67" w:rsidP="00450A6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</w:pPr>
      <w:proofErr w:type="gramStart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3</w:t>
      </w:r>
      <w:proofErr w:type="gramEnd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: Delict and Corp Liability</w:t>
      </w:r>
    </w:p>
    <w:p w:rsidR="00450A67" w:rsidRPr="00450A67" w:rsidRDefault="00450A67" w:rsidP="00450A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4C5966"/>
          <w:sz w:val="24"/>
          <w:szCs w:val="24"/>
          <w:lang w:eastAsia="en-ZA"/>
        </w:rPr>
        <w:t>Definition of a Delict</w:t>
      </w:r>
    </w:p>
    <w:p w:rsidR="00450A67" w:rsidRPr="00450A67" w:rsidRDefault="00450A67" w:rsidP="00450A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4C5966"/>
          <w:sz w:val="24"/>
          <w:szCs w:val="24"/>
          <w:lang w:eastAsia="en-ZA"/>
        </w:rPr>
        <w:t>Types of delicts</w:t>
      </w: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: intentional, negligence, and strict liability</w:t>
      </w:r>
    </w:p>
    <w:p w:rsidR="00450A67" w:rsidRPr="00450A67" w:rsidRDefault="00D432E8" w:rsidP="00450A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>
        <w:rPr>
          <w:rFonts w:ascii="Arial" w:eastAsia="Times New Roman" w:hAnsi="Arial" w:cs="Arial"/>
          <w:color w:val="4C5966"/>
          <w:sz w:val="24"/>
          <w:szCs w:val="24"/>
          <w:lang w:eastAsia="en-ZA"/>
        </w:rPr>
        <w:t>Defenc</w:t>
      </w:r>
      <w:r w:rsid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 xml:space="preserve">es to </w:t>
      </w:r>
      <w:proofErr w:type="spellStart"/>
      <w:r w:rsid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del</w:t>
      </w:r>
      <w:r>
        <w:rPr>
          <w:rFonts w:ascii="Arial" w:eastAsia="Times New Roman" w:hAnsi="Arial" w:cs="Arial"/>
          <w:color w:val="4C5966"/>
          <w:sz w:val="24"/>
          <w:szCs w:val="24"/>
          <w:lang w:eastAsia="en-ZA"/>
        </w:rPr>
        <w:t>i</w:t>
      </w:r>
      <w:r w:rsid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ctual</w:t>
      </w:r>
      <w:proofErr w:type="spellEnd"/>
      <w:r w:rsidR="00450A67"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 xml:space="preserve"> claims</w:t>
      </w:r>
    </w:p>
    <w:p w:rsidR="00450A67" w:rsidRPr="00D432E8" w:rsidRDefault="00450A67" w:rsidP="00450A6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</w:pPr>
      <w:proofErr w:type="gramStart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4</w:t>
      </w:r>
      <w:proofErr w:type="gramEnd"/>
      <w:r w:rsidRPr="00D432E8">
        <w:rPr>
          <w:rFonts w:ascii="Arial" w:eastAsia="Times New Roman" w:hAnsi="Arial" w:cs="Arial"/>
          <w:color w:val="4C5966"/>
          <w:sz w:val="33"/>
          <w:szCs w:val="33"/>
          <w:u w:val="single"/>
          <w:lang w:eastAsia="en-ZA"/>
        </w:rPr>
        <w:t>: Agency and Regulatory Compliance</w:t>
      </w:r>
    </w:p>
    <w:p w:rsidR="00450A67" w:rsidRPr="00450A67" w:rsidRDefault="00450A67" w:rsidP="00450A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Understanding agency relationships</w:t>
      </w:r>
    </w:p>
    <w:p w:rsidR="00450A67" w:rsidRPr="00450A67" w:rsidRDefault="00450A67" w:rsidP="00450A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Duties of agents and principals</w:t>
      </w:r>
    </w:p>
    <w:p w:rsidR="00450A67" w:rsidRPr="00450A67" w:rsidRDefault="00450A67" w:rsidP="00450A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Overview of regulatory compliance in business</w:t>
      </w:r>
    </w:p>
    <w:p w:rsidR="00450A67" w:rsidRPr="00D432E8" w:rsidRDefault="00450A67" w:rsidP="00450A67">
      <w:pPr>
        <w:shd w:val="clear" w:color="auto" w:fill="FFFFFF"/>
        <w:spacing w:after="150" w:line="390" w:lineRule="atLeast"/>
        <w:outlineLvl w:val="2"/>
        <w:rPr>
          <w:rFonts w:ascii="Arial" w:eastAsia="Times New Roman" w:hAnsi="Arial" w:cs="Arial"/>
          <w:b/>
          <w:color w:val="4C5966"/>
          <w:sz w:val="27"/>
          <w:szCs w:val="27"/>
          <w:lang w:eastAsia="en-ZA"/>
        </w:rPr>
      </w:pPr>
    </w:p>
    <w:p w:rsidR="00450A67" w:rsidRPr="00450A67" w:rsidRDefault="00450A67" w:rsidP="00450A6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C5966"/>
          <w:sz w:val="24"/>
          <w:szCs w:val="24"/>
          <w:lang w:eastAsia="en-ZA"/>
        </w:rPr>
      </w:pPr>
      <w:r w:rsidRPr="00450A67">
        <w:rPr>
          <w:rFonts w:ascii="Arial" w:eastAsia="Times New Roman" w:hAnsi="Arial" w:cs="Arial"/>
          <w:color w:val="4C5966"/>
          <w:sz w:val="24"/>
          <w:szCs w:val="24"/>
          <w:lang w:eastAsia="en-ZA"/>
        </w:rPr>
        <w:t>Students are encouraged to engage actively in discussions and apply legal concepts to real-world scenarios.</w:t>
      </w:r>
    </w:p>
    <w:p w:rsidR="00AA0277" w:rsidRDefault="00AA0277">
      <w:bookmarkStart w:id="0" w:name="_GoBack"/>
      <w:bookmarkEnd w:id="0"/>
    </w:p>
    <w:sectPr w:rsidR="00AA0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7777"/>
    <w:multiLevelType w:val="multilevel"/>
    <w:tmpl w:val="B79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E63DB"/>
    <w:multiLevelType w:val="multilevel"/>
    <w:tmpl w:val="261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31166"/>
    <w:multiLevelType w:val="multilevel"/>
    <w:tmpl w:val="30B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56473"/>
    <w:multiLevelType w:val="multilevel"/>
    <w:tmpl w:val="93A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25420"/>
    <w:multiLevelType w:val="multilevel"/>
    <w:tmpl w:val="30D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F36D1"/>
    <w:multiLevelType w:val="multilevel"/>
    <w:tmpl w:val="6EB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67"/>
    <w:rsid w:val="000C1EF0"/>
    <w:rsid w:val="002729CE"/>
    <w:rsid w:val="00327BB5"/>
    <w:rsid w:val="00372EFD"/>
    <w:rsid w:val="00437161"/>
    <w:rsid w:val="00450A67"/>
    <w:rsid w:val="009F36EC"/>
    <w:rsid w:val="00AA0277"/>
    <w:rsid w:val="00D055BE"/>
    <w:rsid w:val="00D4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AE20-FDF7-4DA8-8A21-E5EB2736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 Abrosimova</cp:lastModifiedBy>
  <cp:revision>3</cp:revision>
  <dcterms:created xsi:type="dcterms:W3CDTF">2025-09-18T04:12:00Z</dcterms:created>
  <dcterms:modified xsi:type="dcterms:W3CDTF">2025-09-18T04:16:00Z</dcterms:modified>
</cp:coreProperties>
</file>